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Załącznik nr 2 – Formularz Oferty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Formularz ofertowy</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81.0" w:type="dxa"/>
        <w:jc w:val="left"/>
        <w:tblInd w:w="55.0" w:type="pct"/>
        <w:tblLayout w:type="fixed"/>
        <w:tblLook w:val="0000"/>
      </w:tblPr>
      <w:tblGrid>
        <w:gridCol w:w="2495"/>
        <w:gridCol w:w="7286"/>
        <w:tblGridChange w:id="0">
          <w:tblGrid>
            <w:gridCol w:w="2495"/>
            <w:gridCol w:w="7286"/>
          </w:tblGrid>
        </w:tblGridChange>
      </w:tblGrid>
      <w:tr>
        <w:trPr>
          <w:cantSplit w:val="0"/>
          <w:trHeight w:val="878" w:hRule="atLeast"/>
          <w:tblHeader w:val="0"/>
        </w:trPr>
        <w:tc>
          <w:tcPr>
            <w:tcBorders>
              <w:top w:color="000000" w:space="0" w:sz="4" w:val="single"/>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Przedmiot zamówienia</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„Zakup i dostawa wyposażenia w ramach programu Laboratoria Przyszłości do </w:t>
            </w:r>
            <w:r w:rsidDel="00000000" w:rsidR="00000000" w:rsidRPr="00000000">
              <w:rPr>
                <w:rFonts w:ascii="Times New Roman" w:cs="Times New Roman" w:eastAsia="Times New Roman" w:hAnsi="Times New Roman"/>
                <w:b w:val="1"/>
                <w:rtl w:val="0"/>
              </w:rPr>
              <w:t xml:space="preserve">Zespołu szkół Muzycznych im. K. Szymanowskiego w Toruniu mikser dźwięku wraz z akcesoriami ” </w:t>
            </w:r>
            <w:r w:rsidDel="00000000" w:rsidR="00000000" w:rsidRPr="00000000">
              <w:rPr>
                <w:rtl w:val="0"/>
              </w:rPr>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Zamawiający</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Gmina Miasta Toruń z siedzibą w Toruniu, ul. Wały gen. Sikorskiego 8, 87-100 Toruń, posiadająca NIP 879-000-10-14 działająca poprzez </w:t>
            </w:r>
            <w:r w:rsidDel="00000000" w:rsidR="00000000" w:rsidRPr="00000000">
              <w:rPr>
                <w:rFonts w:ascii="Times New Roman" w:cs="Times New Roman" w:eastAsia="Times New Roman" w:hAnsi="Times New Roman"/>
                <w:rtl w:val="0"/>
              </w:rPr>
              <w:t xml:space="preserve">Zespół Szkół Muzycznych im. Karola Szymanowskiego w Toruniu </w:t>
            </w:r>
            <w:r w:rsidDel="00000000" w:rsidR="00000000" w:rsidRPr="00000000">
              <w:rPr>
                <w:rtl w:val="0"/>
              </w:rPr>
            </w:r>
          </w:p>
        </w:tc>
      </w:tr>
      <w:tr>
        <w:trPr>
          <w:cantSplit w:val="0"/>
          <w:trHeight w:val="775" w:hRule="atLeast"/>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Oferent</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99" w:hRule="atLeast"/>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adres, NIP, REGON, telefon,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adres e-mail</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Cena ofertowa netto bez podatku VAT</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1" w:hRule="atLeast"/>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Podatek VAT 23%</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Cena ofertowa brutto z podatkiem VAT</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Cena ofertowa brutto słownie</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3" w:hRule="atLeast"/>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Oferta zawiera kolejno ponumerowane strony</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Ponadto:</w:t>
      </w:r>
    </w:p>
    <w:p w:rsidR="00000000" w:rsidDel="00000000" w:rsidP="00000000" w:rsidRDefault="00000000" w:rsidRPr="00000000" w14:paraId="0000001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oświadczam, że zapoznałem się z opisem przedmiotu zamówienia i nie wnoszę do niego zastrzeżeń,</w:t>
      </w:r>
    </w:p>
    <w:p w:rsidR="00000000" w:rsidDel="00000000" w:rsidP="00000000" w:rsidRDefault="00000000" w:rsidRPr="00000000" w14:paraId="0000001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oświadczam, że spełniam warunki określone przez Zamawiającego,</w:t>
      </w:r>
    </w:p>
    <w:p w:rsidR="00000000" w:rsidDel="00000000" w:rsidP="00000000" w:rsidRDefault="00000000" w:rsidRPr="00000000" w14:paraId="0000001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oświadczam, że w razie wyboru złożonej przeze mnie oferty zawrę z Zamawiającym umowę wg załączonego wzoru,</w:t>
      </w:r>
    </w:p>
    <w:p w:rsidR="00000000" w:rsidDel="00000000" w:rsidP="00000000" w:rsidRDefault="00000000" w:rsidRPr="00000000" w14:paraId="0000002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pozostaję związany ofertą przez okres 30 dni od upływu terminu składania ofert określonego w zapytaniu ofertowym,</w:t>
      </w:r>
    </w:p>
    <w:p w:rsidR="00000000" w:rsidDel="00000000" w:rsidP="00000000" w:rsidRDefault="00000000" w:rsidRPr="00000000" w14:paraId="0000002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oświadczam, że zapoznałem się z treścią informacji o zasadach przetwarzania danych (załącznik nr 5) i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rsidR="00000000" w:rsidDel="00000000" w:rsidP="00000000" w:rsidRDefault="00000000" w:rsidRPr="00000000" w14:paraId="0000002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załącznikami do niniejszego formularza ofertowego stanowiącego integralną część oferty są:</w:t>
      </w:r>
    </w:p>
    <w:p w:rsidR="00000000" w:rsidDel="00000000" w:rsidP="00000000" w:rsidRDefault="00000000" w:rsidRPr="00000000" w14:paraId="0000002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dnia ….....................</w:t>
        <w:tab/>
        <w:tab/>
        <w:tab/>
        <w:tab/>
        <w:tab/>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7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Pieczątka i podpis Oferenta</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Załącznik nr 3 – oświadczenie o braku podstaw wykluczenia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Pełne dane oferenta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OŚWIADCZENIE</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braku podstaw do wykluczenia</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Nawiązując do ogłoszenia o zamówieniu na </w:t>
      </w:r>
      <w:r w:rsidDel="00000000" w:rsidR="00000000" w:rsidRPr="00000000">
        <w:rPr>
          <w:rFonts w:ascii="Times New Roman" w:cs="Times New Roman" w:eastAsia="Times New Roman" w:hAnsi="Times New Roman"/>
          <w:b w:val="1"/>
          <w:sz w:val="24"/>
          <w:szCs w:val="24"/>
          <w:rtl w:val="0"/>
        </w:rPr>
        <w:t xml:space="preserve">„Laboratoria przyszłości ZSM- nagłośnienie i montaż dźwięku” zakup i dostawa miksera dźwięku wraz z akcesoriami   dla ZSM w Toruniu” G.271,07.2022.AN</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oświadczamy, że: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podlegamy wykluczeniu z postępowania na podstawie art. 108 ust. 1 oraz art. 109 ust. 1 pkt 4) ustawy Prawo Zamówień Publicznych w zw. z postanowieniami „Zakup i dostawa wyposażenia w ramach programu Laboratoria Przyszłości do </w:t>
      </w:r>
      <w:r w:rsidDel="00000000" w:rsidR="00000000" w:rsidRPr="00000000">
        <w:rPr>
          <w:rFonts w:ascii="Times New Roman" w:cs="Times New Roman" w:eastAsia="Times New Roman" w:hAnsi="Times New Roman"/>
          <w:sz w:val="22"/>
          <w:szCs w:val="22"/>
          <w:rtl w:val="0"/>
        </w:rPr>
        <w:t xml:space="preserve">Zespołu szkół Muzycznych w Toruniu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jestem/jesteśmy powiązani kapitałowo lub osobowo z Zamawiającym lub osobami upoważnionymi do zaciągania zobowiązań w imieniu Zamawiającego lub osobami wykonującymi w imieniu Zamawiającego czynności związane z przeprowadzeniem procedury wyboru wykonawcy, przez co należy rozumieć powiązania w szczególności polegające na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tab/>
        <w:t xml:space="preserve">uczestniczeniu w spółce jako wspólnik spółki cywilnej lub spółki osobowej,</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tab/>
        <w:t xml:space="preserve">posiadaniu co najmniej 10% udziałów lub akcji, o ile niższy próg nie wynika z przepisów prawa lub nie został określony przez instytucję zarządzającą programu operacyjnego;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tab/>
        <w:t xml:space="preserve">pełnieniu funkcji członka organu nadzorczego lub zarządzającego, prokurenta, pełnomocnika,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tab/>
        <w:t xml:space="preserve">pozostawaniu w związku małżeńskim, w stosunku do pokrewieństwa lub powinowactwa w linii prostej, pokrewieństwa lub powinowactwa w linii bocznej drugiego stopnia lub w stosunku przysposobienia, opieki lub kurateli.</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podpis i pieczęć osoby/osób uprawnionej/ych</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reprezentowania Oferenta</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Załącznik nr 4 – projekt umowy</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Umowa na zakup i dostawę wyposażenia nr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zawarta w dniu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pomiędzy: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zwanym dalej „Zamawiającym”</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zwanym dalej „Wykonawcą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którą reprezentuje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Niniejsza umowa została zawarta w wyniku przeprowadzenia zapytania ofertowego z wyłączeniem stosowania przepisów ustawy z dnia 11 września 2019 r. Prawo zamówień publicznych (Dz. U. z 2019 r. poz. 2019 ze zm. - dalej jako Pzp) w związku z tym, że wartość zamówienia jest mniejsza niż 130.000 PLN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1</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Przedmiot umowy</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Przedmiotem umowy jest zakup i dostarczenie wyposażenia w ramach programu Laboratoria Przyszłości do </w:t>
      </w:r>
      <w:r w:rsidDel="00000000" w:rsidR="00000000" w:rsidRPr="00000000">
        <w:rPr>
          <w:rFonts w:ascii="Times New Roman" w:cs="Times New Roman" w:eastAsia="Times New Roman" w:hAnsi="Times New Roman"/>
          <w:rtl w:val="0"/>
        </w:rPr>
        <w:t xml:space="preserve">Zespołu Szkół, Muzycznych w Toruniu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szczegółowo opisanego w Opisie przedmiotu zamówienia. Specyfikacja techniczna oraz opis parametrów techniczno-eksploatacyjnych znajduje się w Opisie przedmiotu zamówienia oraz Ofercie wykonawcy, stanowiących odpowiednio załączniki  nr 1 oraz  2 do umowy. </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Przedmiot zamówienia obejmuje:</w:t>
      </w:r>
    </w:p>
    <w:p w:rsidR="00000000" w:rsidDel="00000000" w:rsidP="00000000" w:rsidRDefault="00000000" w:rsidRPr="00000000" w14:paraId="000000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szt. ……………………………</w:t>
      </w:r>
    </w:p>
    <w:p w:rsidR="00000000" w:rsidDel="00000000" w:rsidP="00000000" w:rsidRDefault="00000000" w:rsidRPr="00000000" w14:paraId="0000006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zapewni Zamawiającemu kompleksową obsługę, przy zachowaniu najwyższej staranności,                                             z zachowaniem przepisów prawa i obowiązujących norm technicznych oraz fachowości we wszystkich czynnościach związanych z doradztwem, dostawą, instalacją i serwisem.</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Dostarczony przedmiot umowy musi być fabrycznie nowy, nieużywany, sprawny i nie może być przedmiotem praw ani zobowiązań osób trzecich, musi pochodzić z oficjalnych kanałów dystrybucji.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Termin wykonania umowy</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zrealizuje dostawę przedmiotu Umowy w ciągu </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dni od  podpisania umowy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zgłosi Zamawiającemu gotowość do realizacji dostawy w drodze wiadomości e-mail przesłanej co najmniej z 1 dniowym wyprzedzeniem. Strony uzgodnią wówczas konkretny dzień dostawy.</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Ze względu na tryb pracy Zamawiającego dostawa, w tym instalacja sprzętu może odbywać się jedynie w godzinach pracy Zamawiającego tj. 8:00-15:00.</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Sposób realizacji umowy</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dostarczy wyposażenie w siedzibie </w:t>
      </w:r>
      <w:r w:rsidDel="00000000" w:rsidR="00000000" w:rsidRPr="00000000">
        <w:rPr>
          <w:rFonts w:ascii="Times New Roman" w:cs="Times New Roman" w:eastAsia="Times New Roman" w:hAnsi="Times New Roman"/>
          <w:rtl w:val="0"/>
        </w:rPr>
        <w:t xml:space="preserve">Zespołu Szkół Muzycznych w Toruniu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wskazanych przez Zamawiającego miejscach.</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Wraz z dostawą wyposażenia Wykonawca przekaże Zamawiającemu przed podpisaniem protokołu wszelkie dokumenty gwarancyjne, opisy techniczne, instrukcje obsługi /wytyczne dotyczące obsługi w języku polskim, a także udzieli wszelkich niezbędnych licencji na korzystanie z oprogramowania, zgodnie z jego przeznaczeniem.</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Potwierdzeniem odbioru przedmiotu umowy przez Zamawiającego będzie podpisany Protokół odbioru bez zastrzeżeń bezpośrednio po dokonaniu dostawy i w przypadku sprzętu, którego dotyczy - instalacji we wskazanych miejscach.</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Dostawa nastąpi na koszt i ryzyko Wykonawcy.</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Przejście na Zamawiającego ryzyka związanego z wyposażeniem następuje z chwilą podpisania przez  strony protokołu odbioru, o którym mowa w ust. 3 powyżej.</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Jeżeli w trakcie odbioru stwierdzona zostanie wada przedmiotu Umowy, Zamawiający może odmówić odbioru, a Wykonawca zobowiązany będzie – w zależności od wyboru Zamawiającego – do wymiany wadliwego przedmiotu Umowy na wolny od wad bądź usunięcia wady w drodze naprawy, w terminie uzgodnionym przez Strony, nie dłuższym jednak niż 7 dni od dnia zgłoszenia wad. W przypadku stwierdzenia braków ilościowych Wykonawca zobowiązany jest do ich uzupełnienia w terminie uzgodnionym przez strony, nie dłuższym niż 7 dni. Strony sporządzą odpowiednie adnotacje w protokole. Przez wadę rozumie się w szczególności jakąkolwiek niezgodność z opisem przedmiotu zamówienia.</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Wynagrodzenie i warunki płatności</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Zamawiający zapłaci Wykonawcy za wykonanie przedmiotu Umowy:</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łączną cenę   ................................  brutto (słownie: …………………… 00/100), w tym wartość podatku od towarów                          i usług VAT wynosi …………………….. zł (słownie: …………………………….. 00/100).</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oświadcza, że wyraża zgodę na zmianę stawki na 0% w przypadku opisanym w pkt 8 lit. f) zapytania ofertowego. </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Wynagrodzenie opisane w ust.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terminie ….. dni od dnia podpisania protokołu odbioru bez zastrzeżeń, Wykonawca wystawi Zamawiającemu fakturę VAT na: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NABYWCA: Gmina Miasta Toruń, Wały Generała Sikorskiego 8,87-100 Toruń, NIP: 8790001014</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ODBIORCA: ……………………………………………………………………………………………………………………..</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Zapłata wynagrodzenia zostanie dokonana przelewem na rachunek bankowy Wykonawcy wskazany na fakturze.</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Wynagrodzenie płatne będzie w następujący sposób: 60% ceny do dnia 30.12.2021 roku, 40 % ceny w terminie 7 dni od zrealizowania dostawy podpisania protokołu odbioru bez zastrzeżeń. </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 dzień zapłaty uważa się datę obciążenia rachunku bankowego Zamawiającego.</w:t>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Zamawiający może potrącić należności wynikające z faktury VAT za realizację przedmiotu Umowy o należności z tytułu ewentualnych kar umownych.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5</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Warunki gwarancji</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dostarczony sprzęt Wykonawca udzieli gwarancji wynoszącej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lata  od dnia podpisania protokołu odbioru bez zastrzeżeń oraz zapewni w okresie gwarancji bezpłatny serwis gwarancyjny.</w:t>
      </w:r>
    </w:p>
    <w:p w:rsidR="00000000" w:rsidDel="00000000" w:rsidP="00000000" w:rsidRDefault="00000000" w:rsidRPr="00000000" w14:paraId="000000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Serwis urządzeń musi być realizowany przez producenta sprzętu lub autoryzowanego partnera.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Serwis gwarancyjny ma być świadczony w miejscu użytkowania sprzętu z możliwością naprawy w serwisie Wykonawcy, jeżeli naprawa u użytkownika okaże się niemożliwa. </w:t>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Naprawa lub wymiana urządzeń bądź też ich części, na nowe i oryginalne, będzie zgodna z metodyką i zaleceniami producenta. </w:t>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przypadku ujawnienia wad sprzętu w okresie gwarancji i rękojmi Zamawiający dokona zgłoszenia gwarancyjnego w drodze telefonicznej lub mailowo, od poniedziałku do piątku w godz.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Dane kontaktowe do zgłoszenia: tel. …………………e-mail: …………….</w:t>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oświadcza, że przystąpi do usunięcia zgłoszonych wad w terminie …………….. godzin/dni od momentu otrzymania od  Zamawiającego zgłoszenia (czas reakcji serwisowej). </w:t>
      </w:r>
    </w:p>
    <w:p w:rsidR="00000000" w:rsidDel="00000000" w:rsidP="00000000" w:rsidRDefault="00000000" w:rsidRPr="00000000" w14:paraId="000000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Czas naprawy lub wymiany nie może być dłuższy niż ………. godzin/dni od momentu przystąpienia do usuwania zgłoszonych wad.</w:t>
      </w:r>
    </w:p>
    <w:p w:rsidR="00000000" w:rsidDel="00000000" w:rsidP="00000000" w:rsidRDefault="00000000" w:rsidRPr="00000000" w14:paraId="0000008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przypadku niemożliwości dotrzymania terminu naprawy, o którym mowa w ust. 6 powyżej, Wykonawca zobowiązany jest zapewnić, celem dokonania dłuższej naprawy i na czas tej naprawy, sprzęt zastępczy o parametrach nie gorszych niż sprzęt, który uległ awarii. Również w przypadku, gdy usunięcie awarii lub uszkodzenia będzie usuwane poza siedzibą Zamawiającego, Wykonawca zobowiązuje się dostarczyć, zainstalować i uruchomić w tym czasie sprzęt zastępczy o równoważnych cechach użytkowych.</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Okres gwarancji sprzętu ulega przedłużeniu o czas jego niesprawności, tj. realizacji usunięcia usterki, awarii (naprawy lub wymiany wadliwego podzespołu, lub urządzenia).</w:t>
      </w:r>
    </w:p>
    <w:p w:rsidR="00000000" w:rsidDel="00000000" w:rsidP="00000000" w:rsidRDefault="00000000" w:rsidRPr="00000000" w14:paraId="000000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Odpowiedzialność z tytułu gwarancji jakości obejmuje wady powstałe w urządzeniach,  pod warunkiem, że wady te ujawnią się w okresie gwarancji.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przypadku nie wywiązania się Wykonawcy w określonych terminach z naprawy gwarancyjnej lub dostarczenia sprzętu zastępczego Zamawiający jest uprawniony wykonać ww. usługę na własny koszt i obciążyć pełnymi jej kosztami Wykonawcę.</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Kary umowne i możliwość odstąpienia</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Zamawiający może naliczyć następujące kary umowne:</w:t>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 opóźnienie w dostawie przedmiotu umowy w wysokości ………. zł za każdy rozpoczęty dzień opóźnienia licząc od następnego dnia po terminie, w którym miała być dokonana dostawa, maksymalnie ………………..</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 opóźnienie w usunięciu wad, o których mowa w §3 ust. 6 Umowy w wysokości …………….. zł za każdy rozpoczęty dzień opóźnienia licząc od następnego dnia po terminie, w którym miała być dokonana naprawa/wymiana, maksymalnie …………………………….</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 opóźnienie w wykonaniu zobowiązań gwarancyjnych w stosunku do terminów, o których mowa §5 ust. 6 Umowy w wysokości ……………. zł za każdy rozpoczęty dzień opóźnienia licząc od następnego dnia po terminie,  w którym miała być dokonana naprawa/wymiana, maksymalnie …………………………. </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 tytułu odstąpienia od umowy z przyczyn leżących po stronie Wykonawcy w wysokości ……………….. zł.</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Zastrzeżenie kary umownej nie wyłącza możliwości dochodzenia odszkodowania uzupełniającego, przekraczającego wysokość kar umownych do wysokości rzeczywiście poniesionej szkody.</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Wykonawca może żądać zapłaty odsetek ustawowych, z tytułu zwłoki w zapłacie za fakturę.</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Zamawiający zastrzega sobie prawo odstąpienia od całości lub części niezrealizowanej umowy, w przypadku nienależytego wykonania umowy ze skutkiem natychmiastowym w terminie 30 dni od powzięcia wiadomości                      o tych okolicznościach, w szczególności następujących przypadkach: </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101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niezrealizowania dostawy w terminie wskazanym w §2, </w:t>
      </w:r>
    </w:p>
    <w:p w:rsidR="00000000" w:rsidDel="00000000" w:rsidP="00000000" w:rsidRDefault="00000000" w:rsidRPr="00000000" w14:paraId="000000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101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ujawnienia sprzętu niebędącego fabrycznie nowym, </w:t>
      </w:r>
    </w:p>
    <w:p w:rsidR="00000000" w:rsidDel="00000000" w:rsidP="00000000" w:rsidRDefault="00000000" w:rsidRPr="00000000" w14:paraId="0000009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101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ujawnienia w dostarczonym sprzęcie lub oprogramowaniu wad fizycznych lub prawnych.</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 xml:space="preserve">Postanowienia końcowe</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Strony poinformują się wzajemnie o zmianie adresu lub siedziby. W przeciwnym razie pisma dostarczone pod adres wskazany w niniejszej umowie uważane będą za doręczone. </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Strony uzgadniają, że osobami uprawnionymi do uzgodnień i koordynacji związanych z wykonaniem niniejszej Umowy są:</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ze strony Zamawiającego:  ……………………….tel ……., e-mail: ……… </w:t>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ze strony Wykonawcy: …………………………… tel. ……., e-mail: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Zmiany osób wskazanych, danych kontaktowych, telefonów, Strony mogą dokonywać na podstawie pisemnego powiadomienia z 7dniowym wyprzedzeniem. </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Wszelkie zmiany lub uzupełnienia umowy wymagają formy pisemnej pod rygorem nieważności.</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Załączniki stanowią integralną część umowy.</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sprawach nie uregulowanych umową mają zastosowanie przepisy Kodeksu Cywilnego.</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Wszelkie spory wynikające z niniejszej umowy rozpatrywać będzie właściwy rzeczowo sąd cywilny dla siedziby Zamawiającego.</w:t>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Umowa zostaje sporządzona w dwóch jednobrzmiących egzemplarzach, po jednym dla każdej ze stron.</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ZAMAWIAJĄCY</w:t>
        <w:tab/>
        <w:tab/>
        <w:tab/>
        <w:tab/>
        <w:tab/>
        <w:tab/>
        <w:tab/>
        <w:tab/>
        <w:t xml:space="preserve">WYKONAWCA</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Załącznik nr 5 – klauzula informacyjna RODO</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Klauzula informacyjna o przetwarzaniu danych osobowych - Zamówienie publiczne, do którego nie stosuje się przepisów ustawy Prawo zamówień publicznych</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Administrator danych osobowych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 Administratorem Pani / Pana danych jest Gmina Miasta Toruń z siedzibą w Toruniu działająca przez</w:t>
      </w:r>
      <w:r w:rsidDel="00000000" w:rsidR="00000000" w:rsidRPr="00000000">
        <w:rPr>
          <w:rFonts w:ascii="Times New Roman" w:cs="Times New Roman" w:eastAsia="Times New Roman" w:hAnsi="Times New Roman"/>
          <w:rtl w:val="0"/>
        </w:rPr>
        <w:t xml:space="preserve"> Zespół Szkół Muzycznych im. Karola Szymanowsiego w Toruniu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(dalej: Administrator).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 Z Administratorem można kontaktować się listownie na adres: Zesp</w:t>
      </w:r>
      <w:r w:rsidDel="00000000" w:rsidR="00000000" w:rsidRPr="00000000">
        <w:rPr>
          <w:rFonts w:ascii="Times New Roman" w:cs="Times New Roman" w:eastAsia="Times New Roman" w:hAnsi="Times New Roman"/>
          <w:rtl w:val="0"/>
        </w:rPr>
        <w:t xml:space="preserve">ół Szkół Muzycznych im. Karola Szymanowskiego w Toruniu ul. Szosa Chełmińska 22/226, 87-100 Toruń</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poprzez e-mail: </w:t>
      </w:r>
      <w:r w:rsidDel="00000000" w:rsidR="00000000" w:rsidRPr="00000000">
        <w:rPr>
          <w:rFonts w:ascii="Times New Roman" w:cs="Times New Roman" w:eastAsia="Times New Roman" w:hAnsi="Times New Roman"/>
          <w:rtl w:val="0"/>
        </w:rPr>
        <w:t xml:space="preserve">sekretariat@zsm.torun.pl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lub dzwoniąc pod numer: </w:t>
      </w:r>
      <w:r w:rsidDel="00000000" w:rsidR="00000000" w:rsidRPr="00000000">
        <w:rPr>
          <w:rFonts w:ascii="Times New Roman" w:cs="Times New Roman" w:eastAsia="Times New Roman" w:hAnsi="Times New Roman"/>
          <w:rtl w:val="0"/>
        </w:rPr>
        <w:t xml:space="preserve">56 612 24 10</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Inspektor Ochrony Danych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Administrator powołał Inspektora Ochrony Danych (dalej: IOD).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Z IOD można kontaktować się we wszystkich sprawach dotyczących przetwarzania danych osobowych oraz korzystania z praw związanych z przetwarzaniem danych pisząc e-mail na adres: m.lorenc@tcuw.torun.pl lub pisząc na adres siedziby Administratora.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Cel i podstawa prawna przetwarzania danych osobowych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Okres przechowywania danych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Pani/Pana dane osobowe będą przechowywane przez okres 4 lat od dnia zakończenia procedury oraz przez cały czas obowiązywania umowy zawartej w wyniku rozstrzygnięcia procedury.</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Dane osobowe zebrane na podstawie Pani / Pana zgody będą przechowywane do momentu wycofania tej zgody lub do momentu realizacji celu określonego w zgodzie.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Okres przetwarzania może być przedłużony w granicach prawa w przypadku, gdy przetwarzanie danych osobowych niezbędne jest do dochodzenia lub obrony przed roszczeniami.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Informacja o wymogu podania danych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Prawa osób, których dane dotyczą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 zastrzeżeniem sytuacji określonych w przepisach prawa Pani / Panu przysługują następujące uprawnienia: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Prawo dostępu do treści swoich danych oraz otrzymania ich kopii.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Prawo do sprostowania (poprawienia) swoich danych.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Prawo do usunięcia danych osobowych, w sytuacji, gdy przetwarzanie danych nie następuje w celu wywiązania się z obowiązku wynikającego z przepisu prawa lub w ramach sprawowania władzy publicznej.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Prawo do ograniczenia przetwarzania danych (przy czym przepisy odrębne mogą wyłączyć możliwość skorzystania z tego prawa).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Prawo do wniesienia skargi do Prezesa Urzędu Ochrony Danych Osobowych, ul. Stawki 2, 00-193 Warszawa (w przypadku podejrzenia, że przetwarzanie narusza przepisy prawa dotyczącego ochrony danych osobowych).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Obowiązki Oferentów w związku z przekazaniem danych osobowych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Odbiorcy danych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Dane osobowe mogą zostać przekazane zewnętrznym podmiotom:</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Dane Oferenta pozyskane w związku z postępowaniem o udzielenie zamówienia publicznego przekazywane będą wszystkim zainteresowanym podmiotom i osobom, gdyż co do zasady postępowanie o udzielenie zamówienia publicznego jest jawne.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Instytucje i organy uprawnione do uzyskania danych na podstawie obowiązujących przepisów prawa, np. organy kontrolujące Administratora, Krajowa Izba Odwoławcza.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Dane osobowe nie będą przekazywane poza Europejski Obszar Gospodarczy ani do organizacji międzynarodowych.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Dane osobowe nie będą przetwarzane w sposób zautomatyzowany, w tym nie będą przedmiotem profilowania.</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1">
    <w:lvl w:ilvl="0">
      <w:start w:val="1"/>
      <w:numFmt w:val="decimal"/>
      <w:lvlText w:val="%1)"/>
      <w:lvlJc w:val="left"/>
      <w:pPr>
        <w:ind w:left="644" w:hanging="359.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2">
    <w:lvl w:ilvl="0">
      <w:start w:val="1"/>
      <w:numFmt w:val="lowerLetter"/>
      <w:lvlText w:val="%1)"/>
      <w:lvlJc w:val="left"/>
      <w:pPr>
        <w:ind w:left="750" w:hanging="360"/>
      </w:pPr>
      <w:rPr>
        <w:vertAlign w:val="baseline"/>
      </w:rPr>
    </w:lvl>
    <w:lvl w:ilvl="1">
      <w:start w:val="1"/>
      <w:numFmt w:val="lowerLetter"/>
      <w:lvlText w:val="%2."/>
      <w:lvlJc w:val="left"/>
      <w:pPr>
        <w:ind w:left="1470" w:hanging="360"/>
      </w:pPr>
      <w:rPr>
        <w:vertAlign w:val="baseline"/>
      </w:rPr>
    </w:lvl>
    <w:lvl w:ilvl="2">
      <w:start w:val="1"/>
      <w:numFmt w:val="lowerRoman"/>
      <w:lvlText w:val="%3."/>
      <w:lvlJc w:val="right"/>
      <w:pPr>
        <w:ind w:left="2190" w:hanging="180"/>
      </w:pPr>
      <w:rPr>
        <w:vertAlign w:val="baseline"/>
      </w:rPr>
    </w:lvl>
    <w:lvl w:ilvl="3">
      <w:start w:val="1"/>
      <w:numFmt w:val="decimal"/>
      <w:lvlText w:val="%4."/>
      <w:lvlJc w:val="left"/>
      <w:pPr>
        <w:ind w:left="2910" w:hanging="360"/>
      </w:pPr>
      <w:rPr>
        <w:vertAlign w:val="baseline"/>
      </w:rPr>
    </w:lvl>
    <w:lvl w:ilvl="4">
      <w:start w:val="1"/>
      <w:numFmt w:val="lowerLetter"/>
      <w:lvlText w:val="%5."/>
      <w:lvlJc w:val="left"/>
      <w:pPr>
        <w:ind w:left="3630" w:hanging="360"/>
      </w:pPr>
      <w:rPr>
        <w:vertAlign w:val="baseline"/>
      </w:rPr>
    </w:lvl>
    <w:lvl w:ilvl="5">
      <w:start w:val="1"/>
      <w:numFmt w:val="lowerRoman"/>
      <w:lvlText w:val="%6."/>
      <w:lvlJc w:val="right"/>
      <w:pPr>
        <w:ind w:left="4350" w:hanging="180"/>
      </w:pPr>
      <w:rPr>
        <w:vertAlign w:val="baseline"/>
      </w:rPr>
    </w:lvl>
    <w:lvl w:ilvl="6">
      <w:start w:val="1"/>
      <w:numFmt w:val="decimal"/>
      <w:lvlText w:val="%7."/>
      <w:lvlJc w:val="left"/>
      <w:pPr>
        <w:ind w:left="5070" w:hanging="360"/>
      </w:pPr>
      <w:rPr>
        <w:vertAlign w:val="baseline"/>
      </w:rPr>
    </w:lvl>
    <w:lvl w:ilvl="7">
      <w:start w:val="1"/>
      <w:numFmt w:val="lowerLetter"/>
      <w:lvlText w:val="%8."/>
      <w:lvlJc w:val="left"/>
      <w:pPr>
        <w:ind w:left="5790" w:hanging="360"/>
      </w:pPr>
      <w:rPr>
        <w:vertAlign w:val="baseline"/>
      </w:rPr>
    </w:lvl>
    <w:lvl w:ilvl="8">
      <w:start w:val="1"/>
      <w:numFmt w:val="lowerRoman"/>
      <w:lvlText w:val="%9."/>
      <w:lvlJc w:val="right"/>
      <w:pPr>
        <w:ind w:left="6510" w:hanging="18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w w:val="100"/>
      <w:kern w:val="3"/>
      <w:position w:val="-1"/>
      <w:sz w:val="24"/>
      <w:szCs w:val="24"/>
      <w:effect w:val="none"/>
      <w:vertAlign w:val="baseline"/>
      <w:cs w:val="0"/>
      <w:em w:val="none"/>
      <w:lang w:bidi="hi-IN" w:eastAsia="zh-CN"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w w:val="100"/>
      <w:kern w:val="3"/>
      <w:position w:val="-1"/>
      <w:sz w:val="24"/>
      <w:szCs w:val="24"/>
      <w:effect w:val="none"/>
      <w:vertAlign w:val="baseline"/>
      <w:cs w:val="0"/>
      <w:em w:val="none"/>
      <w:lang w:bidi="hi-IN" w:eastAsia="zh-CN" w:val="pl-PL"/>
    </w:rPr>
  </w:style>
  <w:style w:type="character" w:styleId="Hiperłącze">
    <w:name w:val="Hiperłącze"/>
    <w:next w:val="Hiperłącze"/>
    <w:autoRedefine w:val="0"/>
    <w:hidden w:val="0"/>
    <w:qFormat w:val="0"/>
    <w:rPr>
      <w:color w:val="0000ff"/>
      <w:w w:val="100"/>
      <w:position w:val="-1"/>
      <w:u w:val="single"/>
      <w:effect w:val="none"/>
      <w:vertAlign w:val="baseline"/>
      <w:cs w:val="0"/>
      <w:em w:val="none"/>
      <w:lang/>
    </w:rPr>
  </w:style>
  <w:style w:type="paragraph" w:styleId="Akapitzlistą,Akapitzlistą3,Akapitzlistą31,Odstavec,CW_Lista,Numerowanie,ListParagraph">
    <w:name w:val="Akapit z listą,Akapit z listą3,Akapit z listą31,Odstavec,CW_Lista,Numerowanie,List Paragraph"/>
    <w:basedOn w:val="Normalny"/>
    <w:next w:val="Akapitzlistą,Akapitzlistą3,Akapitzlistą31,Odstavec,CW_Lista,Numerowanie,ListParagraph"/>
    <w:autoRedefine w:val="0"/>
    <w:hidden w:val="0"/>
    <w:qFormat w:val="0"/>
    <w:pPr>
      <w:widowControl w:val="0"/>
      <w:suppressAutoHyphens w:val="0"/>
      <w:autoSpaceDN w:val="0"/>
      <w:spacing w:line="1" w:lineRule="atLeast"/>
      <w:ind w:left="720" w:leftChars="-1" w:rightChars="0" w:firstLineChars="-1"/>
      <w:contextualSpacing w:val="1"/>
      <w:textDirection w:val="btLr"/>
      <w:textAlignment w:val="baseline"/>
      <w:outlineLvl w:val="0"/>
    </w:pPr>
    <w:rPr>
      <w:rFonts w:ascii="Liberation Serif" w:cs="Mangal" w:eastAsia="SimSun" w:hAnsi="Liberation Serif"/>
      <w:w w:val="100"/>
      <w:kern w:val="3"/>
      <w:position w:val="-1"/>
      <w:sz w:val="24"/>
      <w:szCs w:val="21"/>
      <w:effect w:val="none"/>
      <w:vertAlign w:val="baseline"/>
      <w:cs w:val="0"/>
      <w:em w:val="none"/>
      <w:lang w:bidi="hi-IN" w:eastAsia="zh-CN" w:val="und"/>
    </w:rPr>
  </w:style>
  <w:style w:type="character" w:styleId="Pogrubienie">
    <w:name w:val="Pogrubienie"/>
    <w:next w:val="Pogrubienie"/>
    <w:autoRedefine w:val="0"/>
    <w:hidden w:val="0"/>
    <w:qFormat w:val="0"/>
    <w:rPr>
      <w:b w:val="1"/>
      <w:bCs w:val="1"/>
      <w:w w:val="100"/>
      <w:position w:val="-1"/>
      <w:effect w:val="none"/>
      <w:vertAlign w:val="baseline"/>
      <w:cs w:val="0"/>
      <w:em w:val="none"/>
      <w:lang/>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widowControl w:val="0"/>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w w:val="100"/>
      <w:kern w:val="3"/>
      <w:position w:val="-1"/>
      <w:sz w:val="20"/>
      <w:szCs w:val="18"/>
      <w:effect w:val="none"/>
      <w:vertAlign w:val="baseline"/>
      <w:cs w:val="0"/>
      <w:em w:val="none"/>
      <w:lang w:bidi="hi-IN" w:eastAsia="zh-CN" w:val="pl-PL"/>
    </w:rPr>
  </w:style>
  <w:style w:type="character" w:styleId="TekstkomentarzaZnak">
    <w:name w:val="Tekst komentarza Znak"/>
    <w:next w:val="TekstkomentarzaZnak"/>
    <w:autoRedefine w:val="0"/>
    <w:hidden w:val="0"/>
    <w:qFormat w:val="0"/>
    <w:rPr>
      <w:rFonts w:ascii="Liberation Serif" w:cs="Mangal" w:eastAsia="SimSun" w:hAnsi="Liberation Serif"/>
      <w:w w:val="100"/>
      <w:kern w:val="3"/>
      <w:position w:val="-1"/>
      <w:sz w:val="20"/>
      <w:szCs w:val="18"/>
      <w:effect w:val="none"/>
      <w:vertAlign w:val="baseline"/>
      <w:cs w:val="0"/>
      <w:em w:val="none"/>
      <w:lang w:bidi="hi-IN" w:eastAsia="zh-CN"/>
    </w:rPr>
  </w:style>
  <w:style w:type="paragraph" w:styleId="Tekstdymka">
    <w:name w:val="Tekst dymka"/>
    <w:basedOn w:val="Normalny"/>
    <w:next w:val="Tekstdymka"/>
    <w:autoRedefine w:val="0"/>
    <w:hidden w:val="0"/>
    <w:qFormat w:val="1"/>
    <w:pPr>
      <w:widowControl w:val="0"/>
      <w:suppressAutoHyphens w:val="0"/>
      <w:autoSpaceDN w:val="0"/>
      <w:spacing w:line="1" w:lineRule="atLeast"/>
      <w:ind w:leftChars="-1" w:rightChars="0" w:firstLineChars="-1"/>
      <w:textDirection w:val="btLr"/>
      <w:textAlignment w:val="baseline"/>
      <w:outlineLvl w:val="0"/>
    </w:pPr>
    <w:rPr>
      <w:rFonts w:ascii="Tahoma" w:cs="Mangal" w:eastAsia="SimSun" w:hAnsi="Tahoma"/>
      <w:w w:val="100"/>
      <w:kern w:val="3"/>
      <w:position w:val="-1"/>
      <w:sz w:val="16"/>
      <w:szCs w:val="14"/>
      <w:effect w:val="none"/>
      <w:vertAlign w:val="baseline"/>
      <w:cs w:val="0"/>
      <w:em w:val="none"/>
      <w:lang w:bidi="hi-IN" w:eastAsia="zh-CN" w:val="pl-PL"/>
    </w:rPr>
  </w:style>
  <w:style w:type="character" w:styleId="TekstdymkaZnak">
    <w:name w:val="Tekst dymka Znak"/>
    <w:next w:val="TekstdymkaZnak"/>
    <w:autoRedefine w:val="0"/>
    <w:hidden w:val="0"/>
    <w:qFormat w:val="0"/>
    <w:rPr>
      <w:rFonts w:ascii="Tahoma" w:cs="Mangal" w:eastAsia="SimSun" w:hAnsi="Tahoma"/>
      <w:w w:val="100"/>
      <w:kern w:val="3"/>
      <w:position w:val="-1"/>
      <w:sz w:val="16"/>
      <w:szCs w:val="14"/>
      <w:effect w:val="none"/>
      <w:vertAlign w:val="baseline"/>
      <w:cs w:val="0"/>
      <w:em w:val="none"/>
      <w:lang w:bidi="hi-IN" w:eastAsia="zh-CN"/>
    </w:rPr>
  </w:style>
  <w:style w:type="paragraph" w:styleId="Tematkomentarza">
    <w:name w:val="Temat komentarza"/>
    <w:basedOn w:val="Tekstkomentarza"/>
    <w:next w:val="Tekstkomentarza"/>
    <w:autoRedefine w:val="0"/>
    <w:hidden w:val="0"/>
    <w:qFormat w:val="1"/>
    <w:pPr>
      <w:widowControl w:val="0"/>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b w:val="1"/>
      <w:bCs w:val="1"/>
      <w:w w:val="100"/>
      <w:kern w:val="3"/>
      <w:position w:val="-1"/>
      <w:sz w:val="20"/>
      <w:szCs w:val="18"/>
      <w:effect w:val="none"/>
      <w:vertAlign w:val="baseline"/>
      <w:cs w:val="0"/>
      <w:em w:val="none"/>
      <w:lang w:bidi="hi-IN" w:eastAsia="zh-CN" w:val="pl-PL"/>
    </w:rPr>
  </w:style>
  <w:style w:type="character" w:styleId="TematkomentarzaZnak">
    <w:name w:val="Temat komentarza Znak"/>
    <w:next w:val="TematkomentarzaZnak"/>
    <w:autoRedefine w:val="0"/>
    <w:hidden w:val="0"/>
    <w:qFormat w:val="0"/>
    <w:rPr>
      <w:rFonts w:ascii="Liberation Serif" w:cs="Mangal" w:eastAsia="SimSun" w:hAnsi="Liberation Serif"/>
      <w:b w:val="1"/>
      <w:bCs w:val="1"/>
      <w:w w:val="100"/>
      <w:kern w:val="3"/>
      <w:position w:val="-1"/>
      <w:sz w:val="20"/>
      <w:szCs w:val="18"/>
      <w:effect w:val="none"/>
      <w:vertAlign w:val="baseline"/>
      <w:cs w:val="0"/>
      <w:em w:val="none"/>
      <w:lang w:bidi="hi-IN" w:eastAsia="zh-CN"/>
    </w:rPr>
  </w:style>
  <w:style w:type="character" w:styleId="AkapitzlistąZnak,Akapitzlistą3Znak,Akapitzlistą31Znak,OdstavecZnak,CW_ListaZnak,NumerowanieZnak,ListParagraphZnak">
    <w:name w:val="Akapit z listą Znak,Akapit z listą3 Znak,Akapit z listą31 Znak,Odstavec Znak,CW_Lista Znak,Numerowanie Znak,List Paragraph Znak"/>
    <w:next w:val="AkapitzlistąZnak,Akapitzlistą3Znak,Akapitzlistą31Znak,OdstavecZnak,CW_ListaZnak,NumerowanieZnak,ListParagraphZnak"/>
    <w:autoRedefine w:val="0"/>
    <w:hidden w:val="0"/>
    <w:qFormat w:val="0"/>
    <w:rPr>
      <w:rFonts w:ascii="Liberation Serif" w:cs="Mangal" w:eastAsia="SimSun" w:hAnsi="Liberation Serif"/>
      <w:w w:val="100"/>
      <w:kern w:val="3"/>
      <w:position w:val="-1"/>
      <w:sz w:val="24"/>
      <w:szCs w:val="21"/>
      <w:effect w:val="none"/>
      <w:vertAlign w:val="baseline"/>
      <w:cs w:val="0"/>
      <w:em w:val="none"/>
      <w:lang w:bidi="hi-IN" w:eastAsia="zh-CN"/>
    </w:rPr>
  </w:style>
  <w:style w:type="character" w:styleId="WytyczneZnak">
    <w:name w:val="Wytyczne Znak"/>
    <w:next w:val="WytyczneZnak"/>
    <w:autoRedefine w:val="0"/>
    <w:hidden w:val="0"/>
    <w:qFormat w:val="0"/>
    <w:rPr>
      <w:w w:val="100"/>
      <w:position w:val="-1"/>
      <w:sz w:val="24"/>
      <w:szCs w:val="24"/>
      <w:effect w:val="none"/>
      <w:vertAlign w:val="baseline"/>
      <w:cs w:val="0"/>
      <w:em w:val="none"/>
      <w:lang w:eastAsia="ar-SA"/>
    </w:rPr>
  </w:style>
  <w:style w:type="paragraph" w:styleId="Wytyczne">
    <w:name w:val="Wytyczne"/>
    <w:basedOn w:val="Normalny"/>
    <w:next w:val="Wytyczne"/>
    <w:autoRedefine w:val="0"/>
    <w:hidden w:val="0"/>
    <w:qFormat w:val="0"/>
    <w:pPr>
      <w:widowControl w:val="1"/>
      <w:numPr>
        <w:ilvl w:val="0"/>
        <w:numId w:val="15"/>
      </w:numPr>
      <w:suppressAutoHyphens w:val="1"/>
      <w:autoSpaceDN w:val="1"/>
      <w:spacing w:line="276" w:lineRule="auto"/>
      <w:ind w:leftChars="-1" w:rightChars="0" w:firstLineChars="-1"/>
      <w:contextualSpacing w:val="1"/>
      <w:jc w:val="both"/>
      <w:textDirection w:val="btLr"/>
      <w:textAlignment w:val="auto"/>
      <w:outlineLvl w:val="0"/>
    </w:pPr>
    <w:rPr>
      <w:rFonts w:ascii="Calibri" w:cs="Times New Roman" w:eastAsia="Times New Roman" w:hAnsi="Calibri"/>
      <w:w w:val="100"/>
      <w:kern w:val="0"/>
      <w:position w:val="-1"/>
      <w:sz w:val="24"/>
      <w:szCs w:val="24"/>
      <w:effect w:val="none"/>
      <w:vertAlign w:val="baseline"/>
      <w:cs w:val="0"/>
      <w:em w:val="none"/>
      <w:lang w:bidi="ar-SA" w:eastAsia="zh-CN" w:val="und"/>
    </w:rPr>
  </w:style>
  <w:style w:type="paragraph" w:styleId="TableContents">
    <w:name w:val="Table Contents"/>
    <w:basedOn w:val="Standard"/>
    <w:next w:val="TableContents"/>
    <w:autoRedefine w:val="0"/>
    <w:hidden w:val="0"/>
    <w:qFormat w:val="0"/>
    <w:pPr>
      <w:widowControl w:val="0"/>
      <w:suppressLineNumbers w:val="1"/>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w w:val="100"/>
      <w:kern w:val="3"/>
      <w:position w:val="-1"/>
      <w:sz w:val="24"/>
      <w:szCs w:val="24"/>
      <w:effect w:val="none"/>
      <w:vertAlign w:val="baseline"/>
      <w:cs w:val="0"/>
      <w:em w:val="none"/>
      <w:lang w:bidi="hi-IN" w:eastAsia="zh-CN"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8XDA4Qlld79EZqTy7DD0N2i4g==">AMUW2mXSp2/NjIzDh8K5bNdBfLS/uaOsB9pwswngGalP7jxnpXlH6vwCVWhPnKyQ+ol6eXlv0N7UmDqlA8pH/0Pnyu24QjoXA0xu1BLPPFPpr/gn6ALaOcrV90AVV/Ag755QTKyo+VKo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2021-12-13T07:20:00Z</dcterms:created>
  <dc:creator>Kancelaria</dc:creator>
</cp:coreProperties>
</file>

<file path=docProps/custom.xml><?xml version="1.0" encoding="utf-8"?>
<Properties xmlns="http://schemas.openxmlformats.org/officeDocument/2006/custom-properties" xmlns:vt="http://schemas.openxmlformats.org/officeDocument/2006/docPropsVTypes"/>
</file>